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5A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6" w:afterAutospacing="0" w:line="20" w:lineRule="atLeast"/>
        <w:ind w:left="0" w:right="0" w:firstLine="0"/>
        <w:jc w:val="center"/>
        <w:textAlignment w:val="baseline"/>
        <w:rPr>
          <w:b/>
          <w:bCs/>
          <w:sz w:val="28"/>
          <w:szCs w:val="28"/>
        </w:rPr>
      </w:pPr>
      <w:r>
        <w:rPr>
          <w:rFonts w:hint="eastAsia" w:ascii="微软雅黑" w:hAnsi="微软雅黑" w:eastAsia="微软雅黑" w:cs="微软雅黑"/>
          <w:b/>
          <w:bCs/>
          <w:i w:val="0"/>
          <w:iCs w:val="0"/>
          <w:caps w:val="0"/>
          <w:color w:val="222222"/>
          <w:spacing w:val="0"/>
          <w:sz w:val="28"/>
          <w:szCs w:val="28"/>
          <w:shd w:val="clear" w:fill="FFFFFF"/>
          <w:vertAlign w:val="baseline"/>
          <w:lang w:eastAsia="zh-CN"/>
        </w:rPr>
        <w:t>“</w:t>
      </w:r>
      <w:r>
        <w:rPr>
          <w:rFonts w:hint="default" w:ascii="微软雅黑" w:hAnsi="微软雅黑" w:eastAsia="微软雅黑" w:cs="微软雅黑"/>
          <w:b/>
          <w:bCs/>
          <w:i w:val="0"/>
          <w:iCs w:val="0"/>
          <w:caps w:val="0"/>
          <w:color w:val="222222"/>
          <w:spacing w:val="0"/>
          <w:sz w:val="28"/>
          <w:szCs w:val="28"/>
          <w:shd w:val="clear" w:fill="FFFFFF"/>
          <w:vertAlign w:val="baseline"/>
          <w:lang w:eastAsia="zh-CN"/>
        </w:rPr>
        <w:t>非遗四川</w:t>
      </w:r>
      <w:r>
        <w:rPr>
          <w:rFonts w:hint="eastAsia" w:ascii="微软雅黑" w:hAnsi="微软雅黑" w:eastAsia="微软雅黑" w:cs="微软雅黑"/>
          <w:b/>
          <w:bCs/>
          <w:i w:val="0"/>
          <w:iCs w:val="0"/>
          <w:caps w:val="0"/>
          <w:color w:val="222222"/>
          <w:spacing w:val="0"/>
          <w:sz w:val="28"/>
          <w:szCs w:val="28"/>
          <w:shd w:val="clear" w:fill="FFFFFF"/>
          <w:vertAlign w:val="baseline"/>
          <w:lang w:val="en-US" w:eastAsia="zh-CN"/>
        </w:rPr>
        <w:t xml:space="preserve"> </w:t>
      </w:r>
      <w:r>
        <w:rPr>
          <w:rFonts w:hint="default" w:ascii="微软雅黑" w:hAnsi="微软雅黑" w:eastAsia="微软雅黑" w:cs="微软雅黑"/>
          <w:b/>
          <w:bCs/>
          <w:i w:val="0"/>
          <w:iCs w:val="0"/>
          <w:caps w:val="0"/>
          <w:color w:val="222222"/>
          <w:spacing w:val="0"/>
          <w:sz w:val="28"/>
          <w:szCs w:val="28"/>
          <w:shd w:val="clear" w:fill="FFFFFF"/>
          <w:vertAlign w:val="baseline"/>
          <w:lang w:eastAsia="zh-CN"/>
        </w:rPr>
        <w:t>百城百艺</w:t>
      </w:r>
      <w:r>
        <w:rPr>
          <w:rFonts w:hint="eastAsia" w:ascii="微软雅黑" w:hAnsi="微软雅黑" w:eastAsia="微软雅黑" w:cs="微软雅黑"/>
          <w:b/>
          <w:bCs/>
          <w:i w:val="0"/>
          <w:iCs w:val="0"/>
          <w:caps w:val="0"/>
          <w:color w:val="222222"/>
          <w:spacing w:val="0"/>
          <w:sz w:val="28"/>
          <w:szCs w:val="28"/>
          <w:shd w:val="clear" w:fill="FFFFFF"/>
          <w:vertAlign w:val="baseline"/>
          <w:lang w:eastAsia="zh-CN"/>
        </w:rPr>
        <w:t>”</w:t>
      </w:r>
      <w:r>
        <w:rPr>
          <w:rFonts w:hint="default" w:ascii="微软雅黑" w:hAnsi="微软雅黑" w:eastAsia="微软雅黑" w:cs="微软雅黑"/>
          <w:b/>
          <w:bCs/>
          <w:i w:val="0"/>
          <w:iCs w:val="0"/>
          <w:caps w:val="0"/>
          <w:color w:val="222222"/>
          <w:spacing w:val="0"/>
          <w:sz w:val="28"/>
          <w:szCs w:val="28"/>
          <w:shd w:val="clear" w:fill="FFFFFF"/>
          <w:vertAlign w:val="baseline"/>
          <w:lang w:eastAsia="zh-CN"/>
        </w:rPr>
        <w:t>四川非遗品牌——</w:t>
      </w:r>
      <w:r>
        <w:rPr>
          <w:rFonts w:hint="eastAsia" w:ascii="微软雅黑" w:hAnsi="微软雅黑" w:eastAsia="微软雅黑" w:cs="微软雅黑"/>
          <w:b/>
          <w:bCs/>
          <w:i w:val="0"/>
          <w:iCs w:val="0"/>
          <w:caps w:val="0"/>
          <w:color w:val="222222"/>
          <w:spacing w:val="0"/>
          <w:sz w:val="28"/>
          <w:szCs w:val="28"/>
          <w:shd w:val="clear" w:fill="FFFFFF"/>
          <w:vertAlign w:val="baseline"/>
          <w:lang w:eastAsia="zh-CN"/>
        </w:rPr>
        <w:t>“</w:t>
      </w:r>
      <w:r>
        <w:rPr>
          <w:rFonts w:hint="default" w:ascii="微软雅黑" w:hAnsi="微软雅黑" w:eastAsia="微软雅黑" w:cs="微软雅黑"/>
          <w:b/>
          <w:bCs/>
          <w:i w:val="0"/>
          <w:iCs w:val="0"/>
          <w:caps w:val="0"/>
          <w:color w:val="222222"/>
          <w:spacing w:val="0"/>
          <w:sz w:val="28"/>
          <w:szCs w:val="28"/>
          <w:shd w:val="clear" w:fill="FFFFFF"/>
          <w:vertAlign w:val="baseline"/>
          <w:lang w:eastAsia="zh-CN"/>
        </w:rPr>
        <w:t>通江银耳</w:t>
      </w:r>
      <w:r>
        <w:rPr>
          <w:rFonts w:hint="eastAsia" w:ascii="微软雅黑" w:hAnsi="微软雅黑" w:eastAsia="微软雅黑" w:cs="微软雅黑"/>
          <w:b/>
          <w:bCs/>
          <w:i w:val="0"/>
          <w:iCs w:val="0"/>
          <w:caps w:val="0"/>
          <w:color w:val="222222"/>
          <w:spacing w:val="0"/>
          <w:sz w:val="28"/>
          <w:szCs w:val="28"/>
          <w:shd w:val="clear" w:fill="FFFFFF"/>
          <w:vertAlign w:val="baseline"/>
          <w:lang w:eastAsia="zh-CN"/>
        </w:rPr>
        <w:t>”培育提升</w:t>
      </w:r>
      <w:r>
        <w:rPr>
          <w:rFonts w:hint="eastAsia" w:ascii="微软雅黑" w:hAnsi="微软雅黑" w:eastAsia="微软雅黑" w:cs="微软雅黑"/>
          <w:b/>
          <w:bCs/>
          <w:i w:val="0"/>
          <w:iCs w:val="0"/>
          <w:caps w:val="0"/>
          <w:color w:val="222222"/>
          <w:spacing w:val="0"/>
          <w:sz w:val="28"/>
          <w:szCs w:val="28"/>
          <w:shd w:val="clear" w:fill="FFFFFF"/>
          <w:vertAlign w:val="baseline"/>
        </w:rPr>
        <w:t>项</w:t>
      </w:r>
      <w:r>
        <w:rPr>
          <w:rFonts w:hint="eastAsia" w:ascii="微软雅黑" w:hAnsi="微软雅黑" w:eastAsia="微软雅黑" w:cs="微软雅黑"/>
          <w:b/>
          <w:bCs/>
          <w:i w:val="0"/>
          <w:iCs w:val="0"/>
          <w:caps w:val="0"/>
          <w:color w:val="222222"/>
          <w:spacing w:val="0"/>
          <w:sz w:val="28"/>
          <w:szCs w:val="28"/>
          <w:bdr w:val="none" w:color="auto" w:sz="0" w:space="0"/>
          <w:shd w:val="clear" w:fill="FFFFFF"/>
          <w:vertAlign w:val="baseline"/>
        </w:rPr>
        <w:t>目询价邀请通知</w:t>
      </w:r>
    </w:p>
    <w:p w14:paraId="69712F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textAlignment w:val="baseline"/>
        <w:rPr>
          <w:sz w:val="28"/>
          <w:szCs w:val="28"/>
        </w:rPr>
      </w:pPr>
      <w:r>
        <w:rPr>
          <w:rFonts w:ascii="仿宋" w:hAnsi="仿宋" w:eastAsia="仿宋" w:cs="仿宋"/>
          <w:i w:val="0"/>
          <w:iCs w:val="0"/>
          <w:caps w:val="0"/>
          <w:color w:val="333333"/>
          <w:spacing w:val="0"/>
          <w:sz w:val="28"/>
          <w:szCs w:val="28"/>
          <w:bdr w:val="none" w:color="auto" w:sz="0" w:space="0"/>
          <w:shd w:val="clear" w:fill="FFFFFF"/>
          <w:vertAlign w:val="baseline"/>
        </w:rPr>
        <w:t>各供应商:</w:t>
      </w:r>
    </w:p>
    <w:p w14:paraId="5A7671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jc w:val="left"/>
        <w:textAlignment w:val="baseline"/>
        <w:rPr>
          <w:sz w:val="28"/>
          <w:szCs w:val="28"/>
        </w:rPr>
      </w:pPr>
      <w:r>
        <w:rPr>
          <w:rFonts w:hint="eastAsia" w:ascii="仿宋" w:hAnsi="仿宋" w:eastAsia="仿宋" w:cs="仿宋"/>
          <w:i w:val="0"/>
          <w:iCs w:val="0"/>
          <w:caps w:val="0"/>
          <w:color w:val="333333"/>
          <w:spacing w:val="0"/>
          <w:sz w:val="28"/>
          <w:szCs w:val="28"/>
          <w:shd w:val="clear" w:fill="FFFFFF"/>
          <w:vertAlign w:val="baseline"/>
          <w:lang w:eastAsia="zh-CN"/>
        </w:rPr>
        <w:t>“</w:t>
      </w:r>
      <w:r>
        <w:rPr>
          <w:rFonts w:hint="default" w:ascii="仿宋" w:hAnsi="仿宋" w:eastAsia="仿宋" w:cs="仿宋"/>
          <w:i w:val="0"/>
          <w:iCs w:val="0"/>
          <w:caps w:val="0"/>
          <w:color w:val="333333"/>
          <w:spacing w:val="0"/>
          <w:sz w:val="28"/>
          <w:szCs w:val="28"/>
          <w:shd w:val="clear" w:fill="FFFFFF"/>
          <w:vertAlign w:val="baseline"/>
          <w:lang w:eastAsia="zh-CN"/>
        </w:rPr>
        <w:t>非遗四川</w:t>
      </w:r>
      <w:r>
        <w:rPr>
          <w:rFonts w:hint="eastAsia" w:ascii="仿宋" w:hAnsi="仿宋" w:eastAsia="仿宋" w:cs="仿宋"/>
          <w:i w:val="0"/>
          <w:iCs w:val="0"/>
          <w:caps w:val="0"/>
          <w:color w:val="333333"/>
          <w:spacing w:val="0"/>
          <w:sz w:val="28"/>
          <w:szCs w:val="28"/>
          <w:shd w:val="clear" w:fill="FFFFFF"/>
          <w:vertAlign w:val="baseline"/>
          <w:lang w:val="en-US" w:eastAsia="zh-CN"/>
        </w:rPr>
        <w:t xml:space="preserve"> </w:t>
      </w:r>
      <w:r>
        <w:rPr>
          <w:rFonts w:hint="default" w:ascii="仿宋" w:hAnsi="仿宋" w:eastAsia="仿宋" w:cs="仿宋"/>
          <w:i w:val="0"/>
          <w:iCs w:val="0"/>
          <w:caps w:val="0"/>
          <w:color w:val="333333"/>
          <w:spacing w:val="0"/>
          <w:sz w:val="28"/>
          <w:szCs w:val="28"/>
          <w:shd w:val="clear" w:fill="FFFFFF"/>
          <w:vertAlign w:val="baseline"/>
          <w:lang w:eastAsia="zh-CN"/>
        </w:rPr>
        <w:t>百城百艺</w:t>
      </w:r>
      <w:r>
        <w:rPr>
          <w:rFonts w:hint="eastAsia" w:ascii="仿宋" w:hAnsi="仿宋" w:eastAsia="仿宋" w:cs="仿宋"/>
          <w:i w:val="0"/>
          <w:iCs w:val="0"/>
          <w:caps w:val="0"/>
          <w:color w:val="333333"/>
          <w:spacing w:val="0"/>
          <w:sz w:val="28"/>
          <w:szCs w:val="28"/>
          <w:shd w:val="clear" w:fill="FFFFFF"/>
          <w:vertAlign w:val="baseline"/>
          <w:lang w:eastAsia="zh-CN"/>
        </w:rPr>
        <w:t>”</w:t>
      </w:r>
      <w:r>
        <w:rPr>
          <w:rFonts w:hint="default" w:ascii="仿宋" w:hAnsi="仿宋" w:eastAsia="仿宋" w:cs="仿宋"/>
          <w:i w:val="0"/>
          <w:iCs w:val="0"/>
          <w:caps w:val="0"/>
          <w:color w:val="333333"/>
          <w:spacing w:val="0"/>
          <w:sz w:val="28"/>
          <w:szCs w:val="28"/>
          <w:shd w:val="clear" w:fill="FFFFFF"/>
          <w:vertAlign w:val="baseline"/>
          <w:lang w:eastAsia="zh-CN"/>
        </w:rPr>
        <w:t>四川非遗品牌——</w:t>
      </w:r>
      <w:r>
        <w:rPr>
          <w:rFonts w:hint="eastAsia" w:ascii="仿宋" w:hAnsi="仿宋" w:eastAsia="仿宋" w:cs="仿宋"/>
          <w:i w:val="0"/>
          <w:iCs w:val="0"/>
          <w:caps w:val="0"/>
          <w:color w:val="333333"/>
          <w:spacing w:val="0"/>
          <w:sz w:val="28"/>
          <w:szCs w:val="28"/>
          <w:shd w:val="clear" w:fill="FFFFFF"/>
          <w:vertAlign w:val="baseline"/>
          <w:lang w:eastAsia="zh-CN"/>
        </w:rPr>
        <w:t>“</w:t>
      </w:r>
      <w:r>
        <w:rPr>
          <w:rFonts w:hint="default" w:ascii="仿宋" w:hAnsi="仿宋" w:eastAsia="仿宋" w:cs="仿宋"/>
          <w:i w:val="0"/>
          <w:iCs w:val="0"/>
          <w:caps w:val="0"/>
          <w:color w:val="333333"/>
          <w:spacing w:val="0"/>
          <w:sz w:val="28"/>
          <w:szCs w:val="28"/>
          <w:shd w:val="clear" w:fill="FFFFFF"/>
          <w:vertAlign w:val="baseline"/>
          <w:lang w:eastAsia="zh-CN"/>
        </w:rPr>
        <w:t>通江银耳</w:t>
      </w:r>
      <w:r>
        <w:rPr>
          <w:rFonts w:hint="eastAsia" w:ascii="仿宋" w:hAnsi="仿宋" w:eastAsia="仿宋" w:cs="仿宋"/>
          <w:i w:val="0"/>
          <w:iCs w:val="0"/>
          <w:caps w:val="0"/>
          <w:color w:val="333333"/>
          <w:spacing w:val="0"/>
          <w:sz w:val="28"/>
          <w:szCs w:val="28"/>
          <w:shd w:val="clear" w:fill="FFFFFF"/>
          <w:vertAlign w:val="baseline"/>
          <w:lang w:eastAsia="zh-CN"/>
        </w:rPr>
        <w:t>”培育提升</w:t>
      </w:r>
      <w:r>
        <w:rPr>
          <w:rFonts w:hint="eastAsia" w:ascii="仿宋" w:hAnsi="仿宋" w:eastAsia="仿宋" w:cs="仿宋"/>
          <w:i w:val="0"/>
          <w:iCs w:val="0"/>
          <w:caps w:val="0"/>
          <w:color w:val="333333"/>
          <w:spacing w:val="0"/>
          <w:sz w:val="28"/>
          <w:szCs w:val="28"/>
          <w:shd w:val="clear" w:fill="FFFFFF"/>
          <w:vertAlign w:val="baseline"/>
        </w:rPr>
        <w:t>项目采</w:t>
      </w:r>
      <w:r>
        <w:rPr>
          <w:rFonts w:hint="eastAsia" w:ascii="仿宋" w:hAnsi="仿宋" w:eastAsia="仿宋" w:cs="仿宋"/>
          <w:i w:val="0"/>
          <w:iCs w:val="0"/>
          <w:caps w:val="0"/>
          <w:color w:val="333333"/>
          <w:spacing w:val="0"/>
          <w:sz w:val="28"/>
          <w:szCs w:val="28"/>
          <w:bdr w:val="none" w:color="auto" w:sz="0" w:space="0"/>
          <w:shd w:val="clear" w:fill="FFFFFF"/>
          <w:vertAlign w:val="baseline"/>
        </w:rPr>
        <w:t>用询价方式进行，特邀请符合本次邀请要求的供应商参加本项目的询价。</w:t>
      </w:r>
    </w:p>
    <w:p w14:paraId="576523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ascii="黑体" w:hAnsi="宋体" w:eastAsia="黑体" w:cs="黑体"/>
          <w:i w:val="0"/>
          <w:iCs w:val="0"/>
          <w:caps w:val="0"/>
          <w:color w:val="333333"/>
          <w:spacing w:val="0"/>
          <w:sz w:val="28"/>
          <w:szCs w:val="28"/>
          <w:bdr w:val="none" w:color="auto" w:sz="0" w:space="0"/>
          <w:shd w:val="clear" w:fill="FFFFFF"/>
          <w:vertAlign w:val="baseline"/>
        </w:rPr>
        <w:t>一、项目基本情况</w:t>
      </w:r>
    </w:p>
    <w:p w14:paraId="0D38DA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85" w:lineRule="atLeast"/>
        <w:ind w:left="0" w:right="0" w:firstLine="630"/>
        <w:textAlignment w:val="baseline"/>
        <w:rPr>
          <w:sz w:val="28"/>
          <w:szCs w:val="28"/>
        </w:rPr>
      </w:pPr>
      <w:r>
        <w:rPr>
          <w:rStyle w:val="7"/>
          <w:rFonts w:ascii="楷体" w:hAnsi="楷体" w:eastAsia="楷体" w:cs="楷体"/>
          <w:i w:val="0"/>
          <w:iCs w:val="0"/>
          <w:caps w:val="0"/>
          <w:color w:val="333333"/>
          <w:spacing w:val="0"/>
          <w:sz w:val="28"/>
          <w:szCs w:val="28"/>
          <w:bdr w:val="none" w:color="auto" w:sz="0" w:space="0"/>
          <w:shd w:val="clear" w:fill="FFFFFF"/>
          <w:vertAlign w:val="baseline"/>
        </w:rPr>
        <w:t>（一）项目名称:</w:t>
      </w:r>
      <w:r>
        <w:rPr>
          <w:rFonts w:hint="eastAsia" w:ascii="仿宋" w:hAnsi="仿宋" w:eastAsia="仿宋" w:cs="仿宋"/>
          <w:i w:val="0"/>
          <w:iCs w:val="0"/>
          <w:caps w:val="0"/>
          <w:color w:val="333333"/>
          <w:spacing w:val="0"/>
          <w:sz w:val="28"/>
          <w:szCs w:val="28"/>
          <w:shd w:val="clear" w:fill="FFFFFF"/>
          <w:vertAlign w:val="baseline"/>
          <w:lang w:eastAsia="zh-CN"/>
        </w:rPr>
        <w:t>“</w:t>
      </w:r>
      <w:r>
        <w:rPr>
          <w:rFonts w:hint="default" w:ascii="仿宋" w:hAnsi="仿宋" w:eastAsia="仿宋" w:cs="仿宋"/>
          <w:i w:val="0"/>
          <w:iCs w:val="0"/>
          <w:caps w:val="0"/>
          <w:color w:val="333333"/>
          <w:spacing w:val="0"/>
          <w:sz w:val="28"/>
          <w:szCs w:val="28"/>
          <w:shd w:val="clear" w:fill="FFFFFF"/>
          <w:vertAlign w:val="baseline"/>
          <w:lang w:eastAsia="zh-CN"/>
        </w:rPr>
        <w:t>非遗四川</w:t>
      </w:r>
      <w:r>
        <w:rPr>
          <w:rFonts w:hint="eastAsia" w:ascii="仿宋" w:hAnsi="仿宋" w:eastAsia="仿宋" w:cs="仿宋"/>
          <w:i w:val="0"/>
          <w:iCs w:val="0"/>
          <w:caps w:val="0"/>
          <w:color w:val="333333"/>
          <w:spacing w:val="0"/>
          <w:sz w:val="28"/>
          <w:szCs w:val="28"/>
          <w:shd w:val="clear" w:fill="FFFFFF"/>
          <w:vertAlign w:val="baseline"/>
          <w:lang w:val="en-US" w:eastAsia="zh-CN"/>
        </w:rPr>
        <w:t xml:space="preserve"> </w:t>
      </w:r>
      <w:r>
        <w:rPr>
          <w:rFonts w:hint="default" w:ascii="仿宋" w:hAnsi="仿宋" w:eastAsia="仿宋" w:cs="仿宋"/>
          <w:i w:val="0"/>
          <w:iCs w:val="0"/>
          <w:caps w:val="0"/>
          <w:color w:val="333333"/>
          <w:spacing w:val="0"/>
          <w:sz w:val="28"/>
          <w:szCs w:val="28"/>
          <w:shd w:val="clear" w:fill="FFFFFF"/>
          <w:vertAlign w:val="baseline"/>
          <w:lang w:eastAsia="zh-CN"/>
        </w:rPr>
        <w:t>百城百艺</w:t>
      </w:r>
      <w:r>
        <w:rPr>
          <w:rFonts w:hint="eastAsia" w:ascii="仿宋" w:hAnsi="仿宋" w:eastAsia="仿宋" w:cs="仿宋"/>
          <w:i w:val="0"/>
          <w:iCs w:val="0"/>
          <w:caps w:val="0"/>
          <w:color w:val="333333"/>
          <w:spacing w:val="0"/>
          <w:sz w:val="28"/>
          <w:szCs w:val="28"/>
          <w:shd w:val="clear" w:fill="FFFFFF"/>
          <w:vertAlign w:val="baseline"/>
          <w:lang w:eastAsia="zh-CN"/>
        </w:rPr>
        <w:t>”</w:t>
      </w:r>
      <w:r>
        <w:rPr>
          <w:rFonts w:hint="default" w:ascii="仿宋" w:hAnsi="仿宋" w:eastAsia="仿宋" w:cs="仿宋"/>
          <w:i w:val="0"/>
          <w:iCs w:val="0"/>
          <w:caps w:val="0"/>
          <w:color w:val="333333"/>
          <w:spacing w:val="0"/>
          <w:sz w:val="28"/>
          <w:szCs w:val="28"/>
          <w:shd w:val="clear" w:fill="FFFFFF"/>
          <w:vertAlign w:val="baseline"/>
          <w:lang w:eastAsia="zh-CN"/>
        </w:rPr>
        <w:t>四川非遗品牌——</w:t>
      </w:r>
      <w:r>
        <w:rPr>
          <w:rFonts w:hint="eastAsia" w:ascii="仿宋" w:hAnsi="仿宋" w:eastAsia="仿宋" w:cs="仿宋"/>
          <w:i w:val="0"/>
          <w:iCs w:val="0"/>
          <w:caps w:val="0"/>
          <w:color w:val="333333"/>
          <w:spacing w:val="0"/>
          <w:sz w:val="28"/>
          <w:szCs w:val="28"/>
          <w:shd w:val="clear" w:fill="FFFFFF"/>
          <w:vertAlign w:val="baseline"/>
          <w:lang w:eastAsia="zh-CN"/>
        </w:rPr>
        <w:t>“</w:t>
      </w:r>
      <w:r>
        <w:rPr>
          <w:rFonts w:hint="default" w:ascii="仿宋" w:hAnsi="仿宋" w:eastAsia="仿宋" w:cs="仿宋"/>
          <w:i w:val="0"/>
          <w:iCs w:val="0"/>
          <w:caps w:val="0"/>
          <w:color w:val="333333"/>
          <w:spacing w:val="0"/>
          <w:sz w:val="28"/>
          <w:szCs w:val="28"/>
          <w:shd w:val="clear" w:fill="FFFFFF"/>
          <w:vertAlign w:val="baseline"/>
          <w:lang w:eastAsia="zh-CN"/>
        </w:rPr>
        <w:t>通江银耳</w:t>
      </w:r>
      <w:r>
        <w:rPr>
          <w:rFonts w:hint="eastAsia" w:ascii="仿宋" w:hAnsi="仿宋" w:eastAsia="仿宋" w:cs="仿宋"/>
          <w:i w:val="0"/>
          <w:iCs w:val="0"/>
          <w:caps w:val="0"/>
          <w:color w:val="333333"/>
          <w:spacing w:val="0"/>
          <w:sz w:val="28"/>
          <w:szCs w:val="28"/>
          <w:shd w:val="clear" w:fill="FFFFFF"/>
          <w:vertAlign w:val="baseline"/>
          <w:lang w:eastAsia="zh-CN"/>
        </w:rPr>
        <w:t>”培育提升</w:t>
      </w:r>
      <w:r>
        <w:rPr>
          <w:rFonts w:hint="eastAsia" w:ascii="仿宋" w:hAnsi="仿宋" w:eastAsia="仿宋" w:cs="仿宋"/>
          <w:i w:val="0"/>
          <w:iCs w:val="0"/>
          <w:caps w:val="0"/>
          <w:color w:val="333333"/>
          <w:spacing w:val="0"/>
          <w:sz w:val="28"/>
          <w:szCs w:val="28"/>
          <w:shd w:val="clear" w:fill="FFFFFF"/>
          <w:vertAlign w:val="baseline"/>
        </w:rPr>
        <w:t>项目</w:t>
      </w:r>
    </w:p>
    <w:p w14:paraId="4D7F78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楷体" w:hAnsi="楷体" w:eastAsia="楷体" w:cs="楷体"/>
          <w:i w:val="0"/>
          <w:iCs w:val="0"/>
          <w:caps w:val="0"/>
          <w:color w:val="333333"/>
          <w:spacing w:val="0"/>
          <w:sz w:val="28"/>
          <w:szCs w:val="28"/>
          <w:bdr w:val="none" w:color="auto" w:sz="0" w:space="0"/>
          <w:shd w:val="clear" w:fill="FFFFFF"/>
          <w:vertAlign w:val="baseline"/>
        </w:rPr>
        <w:t>（二）邀请单位:</w:t>
      </w:r>
      <w:r>
        <w:rPr>
          <w:rFonts w:hint="eastAsia" w:ascii="仿宋" w:hAnsi="仿宋" w:eastAsia="仿宋" w:cs="仿宋"/>
          <w:i w:val="0"/>
          <w:iCs w:val="0"/>
          <w:caps w:val="0"/>
          <w:color w:val="333333"/>
          <w:spacing w:val="0"/>
          <w:sz w:val="28"/>
          <w:szCs w:val="28"/>
          <w:bdr w:val="none" w:color="auto" w:sz="0" w:space="0"/>
          <w:shd w:val="clear" w:fill="FFFFFF"/>
          <w:vertAlign w:val="baseline"/>
        </w:rPr>
        <w:t>通江县文化馆</w:t>
      </w:r>
    </w:p>
    <w:p w14:paraId="3CAC9D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楷体" w:hAnsi="楷体" w:eastAsia="楷体" w:cs="楷体"/>
          <w:i w:val="0"/>
          <w:iCs w:val="0"/>
          <w:caps w:val="0"/>
          <w:color w:val="333333"/>
          <w:spacing w:val="0"/>
          <w:sz w:val="28"/>
          <w:szCs w:val="28"/>
          <w:bdr w:val="none" w:color="auto" w:sz="0" w:space="0"/>
          <w:shd w:val="clear" w:fill="FFFFFF"/>
          <w:vertAlign w:val="baseline"/>
        </w:rPr>
        <w:t>（三）资料投递</w:t>
      </w:r>
      <w:r>
        <w:rPr>
          <w:rStyle w:val="7"/>
          <w:rFonts w:hint="eastAsia" w:ascii="楷体" w:hAnsi="楷体" w:eastAsia="楷体" w:cs="楷体"/>
          <w:i w:val="0"/>
          <w:iCs w:val="0"/>
          <w:caps w:val="0"/>
          <w:color w:val="333333"/>
          <w:spacing w:val="0"/>
          <w:sz w:val="28"/>
          <w:szCs w:val="28"/>
          <w:bdr w:val="none" w:color="auto" w:sz="0" w:space="0"/>
          <w:shd w:val="clear" w:fill="FFFFFF"/>
          <w:vertAlign w:val="baseline"/>
          <w:lang w:val="en-US" w:eastAsia="zh-CN"/>
        </w:rPr>
        <w:t>时间</w:t>
      </w:r>
      <w:r>
        <w:rPr>
          <w:rStyle w:val="7"/>
          <w:rFonts w:hint="eastAsia" w:ascii="楷体" w:hAnsi="楷体" w:eastAsia="楷体" w:cs="楷体"/>
          <w:i w:val="0"/>
          <w:iCs w:val="0"/>
          <w:caps w:val="0"/>
          <w:color w:val="333333"/>
          <w:spacing w:val="0"/>
          <w:sz w:val="28"/>
          <w:szCs w:val="28"/>
          <w:bdr w:val="none" w:color="auto" w:sz="0" w:space="0"/>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val="en-US" w:eastAsia="zh-CN"/>
        </w:rPr>
        <w:t>即日起</w:t>
      </w:r>
    </w:p>
    <w:p w14:paraId="054468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楷体" w:hAnsi="楷体" w:eastAsia="楷体" w:cs="楷体"/>
          <w:i w:val="0"/>
          <w:iCs w:val="0"/>
          <w:caps w:val="0"/>
          <w:color w:val="333333"/>
          <w:spacing w:val="0"/>
          <w:sz w:val="28"/>
          <w:szCs w:val="28"/>
          <w:bdr w:val="none" w:color="auto" w:sz="0" w:space="0"/>
          <w:shd w:val="clear" w:fill="FFFFFF"/>
          <w:vertAlign w:val="baseline"/>
        </w:rPr>
        <w:t>（四）询价地点:</w:t>
      </w:r>
      <w:r>
        <w:rPr>
          <w:rFonts w:hint="eastAsia" w:ascii="仿宋" w:hAnsi="仿宋" w:eastAsia="仿宋" w:cs="仿宋"/>
          <w:i w:val="0"/>
          <w:iCs w:val="0"/>
          <w:caps w:val="0"/>
          <w:color w:val="333333"/>
          <w:spacing w:val="0"/>
          <w:sz w:val="28"/>
          <w:szCs w:val="28"/>
          <w:bdr w:val="none" w:color="auto" w:sz="0" w:space="0"/>
          <w:shd w:val="clear" w:fill="FFFFFF"/>
          <w:vertAlign w:val="baseline"/>
        </w:rPr>
        <w:t>通江县文化馆</w:t>
      </w:r>
    </w:p>
    <w:p w14:paraId="05CFA6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rFonts w:hint="eastAsia" w:eastAsia="黑体"/>
          <w:sz w:val="28"/>
          <w:szCs w:val="28"/>
          <w:lang w:eastAsia="zh-CN"/>
        </w:rPr>
      </w:pPr>
      <w:r>
        <w:rPr>
          <w:rStyle w:val="7"/>
          <w:rFonts w:hint="eastAsia" w:ascii="黑体" w:hAnsi="宋体" w:eastAsia="黑体" w:cs="黑体"/>
          <w:i w:val="0"/>
          <w:iCs w:val="0"/>
          <w:caps w:val="0"/>
          <w:color w:val="333333"/>
          <w:spacing w:val="0"/>
          <w:sz w:val="28"/>
          <w:szCs w:val="28"/>
          <w:bdr w:val="none" w:color="auto" w:sz="0" w:space="0"/>
          <w:shd w:val="clear" w:fill="FFFFFF"/>
          <w:vertAlign w:val="baseline"/>
        </w:rPr>
        <w:t>二、项目</w:t>
      </w:r>
      <w:r>
        <w:rPr>
          <w:rStyle w:val="7"/>
          <w:rFonts w:hint="eastAsia" w:ascii="黑体" w:hAnsi="宋体" w:eastAsia="黑体" w:cs="黑体"/>
          <w:i w:val="0"/>
          <w:iCs w:val="0"/>
          <w:caps w:val="0"/>
          <w:color w:val="333333"/>
          <w:spacing w:val="0"/>
          <w:sz w:val="28"/>
          <w:szCs w:val="28"/>
          <w:bdr w:val="none" w:color="auto" w:sz="0" w:space="0"/>
          <w:shd w:val="clear" w:fill="FFFFFF"/>
          <w:vertAlign w:val="baseline"/>
          <w:lang w:val="en-US" w:eastAsia="zh-CN"/>
        </w:rPr>
        <w:t>内容</w:t>
      </w:r>
    </w:p>
    <w:p w14:paraId="512B9AE0">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firstLine="560" w:firstLineChars="200"/>
        <w:jc w:val="left"/>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1.搭建“百城百艺”通江银耳项目品牌专属宣传平台账号1个；</w:t>
      </w:r>
    </w:p>
    <w:p w14:paraId="27E0C8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baseline"/>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2.开展“百城百艺”通江银耳项目品牌专项媒体宣传报道60条以上，阅读量（播放量）达到10万+以上；</w:t>
      </w:r>
    </w:p>
    <w:p w14:paraId="05E6B2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仿宋" w:hAnsi="仿宋" w:eastAsia="仿宋" w:cs="仿宋"/>
          <w:b w:val="0"/>
          <w:bCs w:val="0"/>
          <w:i w:val="0"/>
          <w:iCs w:val="0"/>
          <w:color w:val="auto"/>
          <w:kern w:val="0"/>
          <w:sz w:val="28"/>
          <w:szCs w:val="28"/>
          <w:u w:val="none"/>
          <w:lang w:val="en-US" w:eastAsia="zh-CN" w:bidi="ar"/>
        </w:rPr>
      </w:pPr>
      <w:bookmarkStart w:id="0" w:name="_GoBack"/>
      <w:bookmarkEnd w:id="0"/>
      <w:r>
        <w:rPr>
          <w:rFonts w:hint="eastAsia" w:ascii="仿宋" w:hAnsi="仿宋" w:eastAsia="仿宋" w:cs="仿宋"/>
          <w:b w:val="0"/>
          <w:bCs w:val="0"/>
          <w:i w:val="0"/>
          <w:iCs w:val="0"/>
          <w:color w:val="auto"/>
          <w:kern w:val="0"/>
          <w:sz w:val="28"/>
          <w:szCs w:val="28"/>
          <w:u w:val="none"/>
          <w:lang w:val="en-US" w:eastAsia="zh-CN" w:bidi="ar"/>
        </w:rPr>
        <w:t>3.在城市标志性建筑、重点场所投放公益性广告、展示品牌形象5处以上；</w:t>
      </w:r>
    </w:p>
    <w:p w14:paraId="7ECB35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仿宋" w:hAnsi="仿宋" w:eastAsia="仿宋" w:cs="仿宋"/>
          <w:b w:val="0"/>
          <w:bCs w:val="0"/>
          <w:i w:val="0"/>
          <w:iCs w:val="0"/>
          <w:color w:val="auto"/>
          <w:spacing w:val="0"/>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4注册“百城百艺”项目品牌专属公益商标、著作和外观设计专利</w:t>
      </w:r>
      <w:r>
        <w:rPr>
          <w:rFonts w:hint="eastAsia" w:ascii="仿宋" w:hAnsi="仿宋" w:eastAsia="仿宋" w:cs="仿宋"/>
          <w:b w:val="0"/>
          <w:bCs w:val="0"/>
          <w:i w:val="0"/>
          <w:iCs w:val="0"/>
          <w:color w:val="auto"/>
          <w:spacing w:val="0"/>
          <w:kern w:val="0"/>
          <w:sz w:val="28"/>
          <w:szCs w:val="28"/>
          <w:u w:val="none"/>
          <w:lang w:val="en-US" w:eastAsia="zh-CN" w:bidi="ar"/>
        </w:rPr>
        <w:t>信息数量达60个以上；</w:t>
      </w:r>
    </w:p>
    <w:p w14:paraId="2F3C51C6">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baseline"/>
        <w:rPr>
          <w:rFonts w:hint="eastAsia" w:ascii="仿宋" w:hAnsi="仿宋" w:eastAsia="仿宋" w:cs="仿宋"/>
          <w:b w:val="0"/>
          <w:bCs w:val="0"/>
          <w:i w:val="0"/>
          <w:iCs w:val="0"/>
          <w:color w:val="auto"/>
          <w:spacing w:val="0"/>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5.开展“百城百艺”项目品牌参与省内外重大宣传展示，活动</w:t>
      </w:r>
      <w:r>
        <w:rPr>
          <w:rFonts w:hint="eastAsia" w:ascii="仿宋" w:hAnsi="仿宋" w:eastAsia="仿宋" w:cs="仿宋"/>
          <w:b w:val="0"/>
          <w:bCs w:val="0"/>
          <w:i w:val="0"/>
          <w:iCs w:val="0"/>
          <w:color w:val="auto"/>
          <w:spacing w:val="0"/>
          <w:kern w:val="0"/>
          <w:sz w:val="28"/>
          <w:szCs w:val="28"/>
          <w:u w:val="none"/>
          <w:lang w:val="en-US" w:eastAsia="zh-CN" w:bidi="ar"/>
        </w:rPr>
        <w:t>场次达12场以上；</w:t>
      </w:r>
    </w:p>
    <w:p w14:paraId="58F8603D">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baseline"/>
        <w:rPr>
          <w:rFonts w:hint="eastAsia" w:ascii="仿宋" w:hAnsi="仿宋" w:eastAsia="仿宋" w:cs="仿宋"/>
          <w:b w:val="0"/>
          <w:bCs w:val="0"/>
          <w:i w:val="0"/>
          <w:iCs w:val="0"/>
          <w:color w:val="auto"/>
          <w:spacing w:val="0"/>
          <w:kern w:val="0"/>
          <w:sz w:val="28"/>
          <w:szCs w:val="28"/>
          <w:u w:val="none"/>
          <w:lang w:val="en-US" w:eastAsia="zh-CN" w:bidi="ar"/>
        </w:rPr>
      </w:pPr>
      <w:r>
        <w:rPr>
          <w:rFonts w:hint="eastAsia" w:ascii="仿宋" w:hAnsi="仿宋" w:eastAsia="仿宋" w:cs="仿宋"/>
          <w:b w:val="0"/>
          <w:bCs w:val="0"/>
          <w:i w:val="0"/>
          <w:iCs w:val="0"/>
          <w:color w:val="auto"/>
          <w:spacing w:val="0"/>
          <w:kern w:val="0"/>
          <w:sz w:val="28"/>
          <w:szCs w:val="28"/>
          <w:u w:val="none"/>
          <w:lang w:val="en-US" w:eastAsia="zh-CN" w:bidi="ar"/>
        </w:rPr>
        <w:t>6.</w:t>
      </w:r>
      <w:r>
        <w:rPr>
          <w:rFonts w:hint="eastAsia" w:ascii="仿宋" w:hAnsi="仿宋" w:eastAsia="仿宋" w:cs="仿宋"/>
          <w:b w:val="0"/>
          <w:bCs w:val="0"/>
          <w:i w:val="0"/>
          <w:iCs w:val="0"/>
          <w:color w:val="auto"/>
          <w:kern w:val="0"/>
          <w:sz w:val="28"/>
          <w:szCs w:val="28"/>
          <w:u w:val="none"/>
          <w:lang w:val="en-US" w:eastAsia="zh-CN" w:bidi="ar"/>
        </w:rPr>
        <w:t>开发“百城百艺”项目品牌文创产品系列，</w:t>
      </w:r>
      <w:r>
        <w:rPr>
          <w:rFonts w:hint="eastAsia" w:ascii="仿宋" w:hAnsi="仿宋" w:eastAsia="仿宋" w:cs="仿宋"/>
          <w:b w:val="0"/>
          <w:bCs w:val="0"/>
          <w:i w:val="0"/>
          <w:iCs w:val="0"/>
          <w:color w:val="auto"/>
          <w:spacing w:val="0"/>
          <w:kern w:val="0"/>
          <w:sz w:val="28"/>
          <w:szCs w:val="28"/>
          <w:u w:val="none"/>
          <w:lang w:val="en-US" w:eastAsia="zh-CN" w:bidi="ar"/>
        </w:rPr>
        <w:t>产品数量达60套以上；</w:t>
      </w:r>
    </w:p>
    <w:p w14:paraId="20E441E3">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baseline"/>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spacing w:val="0"/>
          <w:kern w:val="0"/>
          <w:sz w:val="28"/>
          <w:szCs w:val="28"/>
          <w:u w:val="none"/>
          <w:lang w:val="en-US" w:eastAsia="zh-CN" w:bidi="ar"/>
        </w:rPr>
        <w:t>7.</w:t>
      </w:r>
      <w:r>
        <w:rPr>
          <w:rFonts w:hint="eastAsia" w:ascii="仿宋" w:hAnsi="仿宋" w:eastAsia="仿宋" w:cs="仿宋"/>
          <w:b w:val="0"/>
          <w:bCs w:val="0"/>
          <w:i w:val="0"/>
          <w:iCs w:val="0"/>
          <w:color w:val="auto"/>
          <w:kern w:val="0"/>
          <w:sz w:val="28"/>
          <w:szCs w:val="28"/>
          <w:u w:val="none"/>
          <w:lang w:val="en-US" w:eastAsia="zh-CN" w:bidi="ar"/>
        </w:rPr>
        <w:t>开展“百城百艺”项目品牌市域内大众普及宣传体验活动，次达20场以上；</w:t>
      </w:r>
    </w:p>
    <w:p w14:paraId="3BB56568">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baseline"/>
        <w:rPr>
          <w:rFonts w:hint="eastAsia" w:ascii="仿宋" w:hAnsi="仿宋" w:eastAsia="仿宋" w:cs="仿宋"/>
          <w:b w:val="0"/>
          <w:bCs w:val="0"/>
          <w:i w:val="0"/>
          <w:iCs w:val="0"/>
          <w:color w:val="auto"/>
          <w:spacing w:val="-4"/>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8.成功打造“百城百艺”项目品牌相关衍生创作内容，</w:t>
      </w:r>
      <w:r>
        <w:rPr>
          <w:rFonts w:hint="eastAsia" w:ascii="仿宋" w:hAnsi="仿宋" w:eastAsia="仿宋" w:cs="仿宋"/>
          <w:b w:val="0"/>
          <w:bCs w:val="0"/>
          <w:i w:val="0"/>
          <w:iCs w:val="0"/>
          <w:color w:val="auto"/>
          <w:spacing w:val="-4"/>
          <w:kern w:val="0"/>
          <w:sz w:val="28"/>
          <w:szCs w:val="28"/>
          <w:u w:val="none"/>
          <w:lang w:val="en-US" w:eastAsia="zh-CN" w:bidi="ar"/>
        </w:rPr>
        <w:t>奖项数量达10项以上；</w:t>
      </w:r>
    </w:p>
    <w:p w14:paraId="63F81CD5">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44" w:firstLineChars="200"/>
        <w:textAlignment w:val="baseline"/>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spacing w:val="-4"/>
          <w:kern w:val="0"/>
          <w:sz w:val="28"/>
          <w:szCs w:val="28"/>
          <w:u w:val="none"/>
          <w:lang w:val="en-US" w:eastAsia="zh-CN" w:bidi="ar"/>
        </w:rPr>
        <w:t>9.</w:t>
      </w:r>
      <w:r>
        <w:rPr>
          <w:rFonts w:hint="eastAsia" w:ascii="仿宋" w:hAnsi="仿宋" w:eastAsia="仿宋" w:cs="仿宋"/>
          <w:b w:val="0"/>
          <w:bCs w:val="0"/>
          <w:i w:val="0"/>
          <w:iCs w:val="0"/>
          <w:color w:val="auto"/>
          <w:kern w:val="0"/>
          <w:sz w:val="28"/>
          <w:szCs w:val="28"/>
          <w:u w:val="none"/>
          <w:lang w:val="en-US" w:eastAsia="zh-CN" w:bidi="ar"/>
        </w:rPr>
        <w:t>地方政府所编制“百城百艺”项目品牌及其文化空间保护规划，数量达到2项以上；</w:t>
      </w:r>
    </w:p>
    <w:p w14:paraId="65F7879C">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baseline"/>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10.地方政府所开发“百城百艺”项目品牌相关旅游路线，达到4条以上。</w:t>
      </w:r>
    </w:p>
    <w:p w14:paraId="3D6E72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黑体" w:hAnsi="宋体" w:eastAsia="黑体" w:cs="黑体"/>
          <w:i w:val="0"/>
          <w:iCs w:val="0"/>
          <w:caps w:val="0"/>
          <w:color w:val="333333"/>
          <w:spacing w:val="0"/>
          <w:sz w:val="28"/>
          <w:szCs w:val="28"/>
          <w:bdr w:val="none" w:color="auto" w:sz="0" w:space="0"/>
          <w:shd w:val="clear" w:fill="FFFFFF"/>
          <w:vertAlign w:val="baseline"/>
        </w:rPr>
        <w:t>三、供应商参加本次询价活动应具备下列条件</w:t>
      </w:r>
    </w:p>
    <w:p w14:paraId="129C28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Fonts w:hint="eastAsia" w:ascii="楷体" w:hAnsi="楷体" w:eastAsia="楷体" w:cs="楷体"/>
          <w:i w:val="0"/>
          <w:iCs w:val="0"/>
          <w:caps w:val="0"/>
          <w:color w:val="333333"/>
          <w:spacing w:val="0"/>
          <w:sz w:val="28"/>
          <w:szCs w:val="28"/>
          <w:bdr w:val="none" w:color="auto" w:sz="0" w:space="0"/>
          <w:shd w:val="clear" w:fill="FFFFFF"/>
          <w:vertAlign w:val="baseline"/>
        </w:rPr>
        <w:t>（一）具有独立承担民事责任的能力;</w:t>
      </w:r>
    </w:p>
    <w:p w14:paraId="092C86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Fonts w:hint="eastAsia" w:ascii="楷体" w:hAnsi="楷体" w:eastAsia="楷体" w:cs="楷体"/>
          <w:i w:val="0"/>
          <w:iCs w:val="0"/>
          <w:caps w:val="0"/>
          <w:color w:val="333333"/>
          <w:spacing w:val="0"/>
          <w:sz w:val="28"/>
          <w:szCs w:val="28"/>
          <w:bdr w:val="none" w:color="auto" w:sz="0" w:space="0"/>
          <w:shd w:val="clear" w:fill="FFFFFF"/>
          <w:vertAlign w:val="baseline"/>
        </w:rPr>
        <w:t>（二）具有良好的商业信誉和健全的财务会计制度;</w:t>
      </w:r>
    </w:p>
    <w:p w14:paraId="06D4DE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Fonts w:hint="eastAsia" w:ascii="楷体" w:hAnsi="楷体" w:eastAsia="楷体" w:cs="楷体"/>
          <w:i w:val="0"/>
          <w:iCs w:val="0"/>
          <w:caps w:val="0"/>
          <w:color w:val="333333"/>
          <w:spacing w:val="0"/>
          <w:sz w:val="28"/>
          <w:szCs w:val="28"/>
          <w:bdr w:val="none" w:color="auto" w:sz="0" w:space="0"/>
          <w:shd w:val="clear" w:fill="FFFFFF"/>
          <w:vertAlign w:val="baseline"/>
        </w:rPr>
        <w:t>（三）具有履行合同所必需的设备和专业技术能力;</w:t>
      </w:r>
    </w:p>
    <w:p w14:paraId="7D75EB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Fonts w:hint="eastAsia" w:ascii="楷体" w:hAnsi="楷体" w:eastAsia="楷体" w:cs="楷体"/>
          <w:i w:val="0"/>
          <w:iCs w:val="0"/>
          <w:caps w:val="0"/>
          <w:color w:val="333333"/>
          <w:spacing w:val="0"/>
          <w:sz w:val="28"/>
          <w:szCs w:val="28"/>
          <w:bdr w:val="none" w:color="auto" w:sz="0" w:space="0"/>
          <w:shd w:val="clear" w:fill="FFFFFF"/>
          <w:vertAlign w:val="baseline"/>
        </w:rPr>
        <w:t>（四）有依法缴纳税收和社会保障资金的良好记录;</w:t>
      </w:r>
    </w:p>
    <w:p w14:paraId="55C5D1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Fonts w:hint="eastAsia" w:ascii="楷体" w:hAnsi="楷体" w:eastAsia="楷体" w:cs="楷体"/>
          <w:i w:val="0"/>
          <w:iCs w:val="0"/>
          <w:caps w:val="0"/>
          <w:color w:val="333333"/>
          <w:spacing w:val="0"/>
          <w:sz w:val="28"/>
          <w:szCs w:val="28"/>
          <w:bdr w:val="none" w:color="auto" w:sz="0" w:space="0"/>
          <w:shd w:val="clear" w:fill="FFFFFF"/>
          <w:vertAlign w:val="baseline"/>
        </w:rPr>
        <w:t>（五）参加政府采购活动前三年内，在经营活动中没有重大违法记录;</w:t>
      </w:r>
    </w:p>
    <w:p w14:paraId="10EA4E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Fonts w:hint="eastAsia" w:ascii="楷体" w:hAnsi="楷体" w:eastAsia="楷体" w:cs="楷体"/>
          <w:i w:val="0"/>
          <w:iCs w:val="0"/>
          <w:caps w:val="0"/>
          <w:color w:val="333333"/>
          <w:spacing w:val="0"/>
          <w:sz w:val="28"/>
          <w:szCs w:val="28"/>
          <w:bdr w:val="none" w:color="auto" w:sz="0" w:space="0"/>
          <w:shd w:val="clear" w:fill="FFFFFF"/>
          <w:vertAlign w:val="baseline"/>
        </w:rPr>
        <w:t>（六）法律，行政法规规定的其他条件。</w:t>
      </w:r>
    </w:p>
    <w:p w14:paraId="37A5E2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黑体" w:hAnsi="宋体" w:eastAsia="黑体" w:cs="黑体"/>
          <w:i w:val="0"/>
          <w:iCs w:val="0"/>
          <w:caps w:val="0"/>
          <w:color w:val="333333"/>
          <w:spacing w:val="0"/>
          <w:sz w:val="28"/>
          <w:szCs w:val="28"/>
          <w:bdr w:val="none" w:color="auto" w:sz="0" w:space="0"/>
          <w:shd w:val="clear" w:fill="FFFFFF"/>
          <w:vertAlign w:val="baseline"/>
        </w:rPr>
        <w:t>四、禁止参加本次询价活动的供应商</w:t>
      </w:r>
    </w:p>
    <w:p w14:paraId="6387BC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Fonts w:hint="eastAsia" w:ascii="仿宋" w:hAnsi="仿宋" w:eastAsia="仿宋" w:cs="仿宋"/>
          <w:i w:val="0"/>
          <w:iCs w:val="0"/>
          <w:caps w:val="0"/>
          <w:color w:val="333333"/>
          <w:spacing w:val="0"/>
          <w:sz w:val="28"/>
          <w:szCs w:val="28"/>
          <w:bdr w:val="none" w:color="auto" w:sz="0" w:space="0"/>
          <w:shd w:val="clear" w:fill="FFFFFF"/>
          <w:vertAlign w:val="baseline"/>
        </w:rPr>
        <w:t>根据《关于在政府采购活动中查询及使用信用记录有关问题的通知》(财库[2016]125号)的要求，拒绝列入失信被执行人名单、重大税收违法案件当事人名单、政府采购严重违法失信行为记承名单中的供应商报名参加本项目的采购活动(以联合体形式参加本项目邀请活动，联合体成员存在不良信用记录的，视同联合体存在不良信用记录)</w:t>
      </w:r>
    </w:p>
    <w:p w14:paraId="5435E6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黑体" w:hAnsi="宋体" w:eastAsia="黑体" w:cs="黑体"/>
          <w:i w:val="0"/>
          <w:iCs w:val="0"/>
          <w:caps w:val="0"/>
          <w:color w:val="333333"/>
          <w:spacing w:val="0"/>
          <w:sz w:val="28"/>
          <w:szCs w:val="28"/>
          <w:bdr w:val="none" w:color="auto" w:sz="0" w:space="0"/>
          <w:shd w:val="clear" w:fill="FFFFFF"/>
          <w:vertAlign w:val="baseline"/>
        </w:rPr>
        <w:t>五、其他</w:t>
      </w:r>
    </w:p>
    <w:p w14:paraId="175A75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rFonts w:hint="default" w:eastAsia="仿宋"/>
          <w:sz w:val="28"/>
          <w:szCs w:val="28"/>
          <w:lang w:val="en-US" w:eastAsia="zh-CN"/>
        </w:rPr>
      </w:pPr>
      <w:r>
        <w:rPr>
          <w:rStyle w:val="7"/>
          <w:rFonts w:hint="eastAsia" w:ascii="楷体" w:hAnsi="楷体" w:eastAsia="楷体" w:cs="楷体"/>
          <w:i w:val="0"/>
          <w:iCs w:val="0"/>
          <w:caps w:val="0"/>
          <w:color w:val="333333"/>
          <w:spacing w:val="0"/>
          <w:sz w:val="28"/>
          <w:szCs w:val="28"/>
          <w:bdr w:val="none" w:color="auto" w:sz="0" w:space="0"/>
          <w:shd w:val="clear" w:fill="FFFFFF"/>
          <w:vertAlign w:val="baseline"/>
        </w:rPr>
        <w:t>（一）</w:t>
      </w:r>
      <w:r>
        <w:rPr>
          <w:rStyle w:val="7"/>
          <w:rFonts w:hint="eastAsia" w:ascii="楷体" w:hAnsi="楷体" w:eastAsia="楷体" w:cs="楷体"/>
          <w:i w:val="0"/>
          <w:iCs w:val="0"/>
          <w:caps w:val="0"/>
          <w:color w:val="333333"/>
          <w:spacing w:val="0"/>
          <w:sz w:val="28"/>
          <w:szCs w:val="28"/>
          <w:shd w:val="clear" w:fill="FFFFFF"/>
          <w:vertAlign w:val="baseline"/>
          <w:lang w:val="en-US" w:eastAsia="zh-CN"/>
        </w:rPr>
        <w:t>成果内容</w:t>
      </w:r>
      <w:r>
        <w:rPr>
          <w:rStyle w:val="7"/>
          <w:rFonts w:hint="eastAsia" w:ascii="楷体" w:hAnsi="楷体" w:eastAsia="楷体" w:cs="楷体"/>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val="en-US" w:eastAsia="zh-CN"/>
        </w:rPr>
        <w:t>根据项目要求</w:t>
      </w:r>
    </w:p>
    <w:p w14:paraId="38E51E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楷体" w:hAnsi="楷体" w:eastAsia="楷体" w:cs="楷体"/>
          <w:i w:val="0"/>
          <w:iCs w:val="0"/>
          <w:caps w:val="0"/>
          <w:color w:val="333333"/>
          <w:spacing w:val="0"/>
          <w:sz w:val="28"/>
          <w:szCs w:val="28"/>
          <w:bdr w:val="none" w:color="auto" w:sz="0" w:space="0"/>
          <w:shd w:val="clear" w:fill="FFFFFF"/>
          <w:vertAlign w:val="baseline"/>
        </w:rPr>
        <w:t>（二）</w:t>
      </w:r>
      <w:r>
        <w:rPr>
          <w:rStyle w:val="7"/>
          <w:rFonts w:hint="eastAsia" w:ascii="楷体" w:hAnsi="楷体" w:eastAsia="楷体" w:cs="楷体"/>
          <w:i w:val="0"/>
          <w:iCs w:val="0"/>
          <w:caps w:val="0"/>
          <w:color w:val="333333"/>
          <w:spacing w:val="0"/>
          <w:sz w:val="28"/>
          <w:szCs w:val="28"/>
          <w:shd w:val="clear" w:fill="FFFFFF"/>
          <w:vertAlign w:val="baseline"/>
        </w:rPr>
        <w:t>成果提交:</w:t>
      </w:r>
      <w:r>
        <w:rPr>
          <w:rFonts w:hint="eastAsia" w:ascii="仿宋" w:hAnsi="仿宋" w:eastAsia="仿宋" w:cs="仿宋"/>
          <w:i w:val="0"/>
          <w:iCs w:val="0"/>
          <w:caps w:val="0"/>
          <w:color w:val="333333"/>
          <w:spacing w:val="0"/>
          <w:sz w:val="28"/>
          <w:szCs w:val="28"/>
          <w:shd w:val="clear" w:fill="FFFFFF"/>
          <w:vertAlign w:val="baseline"/>
        </w:rPr>
        <w:t>2025年</w:t>
      </w:r>
      <w:r>
        <w:rPr>
          <w:rFonts w:hint="eastAsia" w:ascii="仿宋" w:hAnsi="仿宋" w:eastAsia="仿宋" w:cs="仿宋"/>
          <w:i w:val="0"/>
          <w:iCs w:val="0"/>
          <w:caps w:val="0"/>
          <w:color w:val="333333"/>
          <w:spacing w:val="0"/>
          <w:sz w:val="28"/>
          <w:szCs w:val="28"/>
          <w:shd w:val="clear" w:fill="FFFFFF"/>
          <w:vertAlign w:val="baseline"/>
          <w:lang w:val="en-US" w:eastAsia="zh-CN"/>
        </w:rPr>
        <w:t>12</w:t>
      </w:r>
      <w:r>
        <w:rPr>
          <w:rFonts w:hint="eastAsia" w:ascii="仿宋" w:hAnsi="仿宋" w:eastAsia="仿宋" w:cs="仿宋"/>
          <w:i w:val="0"/>
          <w:iCs w:val="0"/>
          <w:caps w:val="0"/>
          <w:color w:val="333333"/>
          <w:spacing w:val="0"/>
          <w:sz w:val="28"/>
          <w:szCs w:val="28"/>
          <w:shd w:val="clear" w:fill="FFFFFF"/>
          <w:vertAlign w:val="baseline"/>
        </w:rPr>
        <w:t>月</w:t>
      </w:r>
      <w:r>
        <w:rPr>
          <w:rFonts w:hint="eastAsia" w:ascii="仿宋" w:hAnsi="仿宋" w:eastAsia="仿宋" w:cs="仿宋"/>
          <w:i w:val="0"/>
          <w:iCs w:val="0"/>
          <w:caps w:val="0"/>
          <w:color w:val="333333"/>
          <w:spacing w:val="0"/>
          <w:sz w:val="28"/>
          <w:szCs w:val="28"/>
          <w:shd w:val="clear" w:fill="FFFFFF"/>
          <w:vertAlign w:val="baseline"/>
          <w:lang w:val="en-US" w:eastAsia="zh-CN"/>
        </w:rPr>
        <w:t>20</w:t>
      </w:r>
      <w:r>
        <w:rPr>
          <w:rFonts w:hint="eastAsia" w:ascii="仿宋" w:hAnsi="仿宋" w:eastAsia="仿宋" w:cs="仿宋"/>
          <w:i w:val="0"/>
          <w:iCs w:val="0"/>
          <w:caps w:val="0"/>
          <w:color w:val="333333"/>
          <w:spacing w:val="0"/>
          <w:sz w:val="28"/>
          <w:szCs w:val="28"/>
          <w:shd w:val="clear" w:fill="FFFFFF"/>
          <w:vertAlign w:val="baseline"/>
        </w:rPr>
        <w:t>日前完成</w:t>
      </w:r>
    </w:p>
    <w:p w14:paraId="2FB2E2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楷体" w:hAnsi="楷体" w:eastAsia="楷体" w:cs="楷体"/>
          <w:i w:val="0"/>
          <w:iCs w:val="0"/>
          <w:caps w:val="0"/>
          <w:color w:val="333333"/>
          <w:spacing w:val="0"/>
          <w:sz w:val="28"/>
          <w:szCs w:val="28"/>
          <w:bdr w:val="none" w:color="auto" w:sz="0" w:space="0"/>
          <w:shd w:val="clear" w:fill="FFFFFF"/>
          <w:vertAlign w:val="baseline"/>
        </w:rPr>
        <w:t>（三）</w:t>
      </w:r>
      <w:r>
        <w:rPr>
          <w:rStyle w:val="7"/>
          <w:rFonts w:hint="eastAsia" w:ascii="楷体" w:hAnsi="楷体" w:eastAsia="楷体" w:cs="楷体"/>
          <w:i w:val="0"/>
          <w:iCs w:val="0"/>
          <w:caps w:val="0"/>
          <w:color w:val="333333"/>
          <w:spacing w:val="0"/>
          <w:sz w:val="28"/>
          <w:szCs w:val="28"/>
          <w:shd w:val="clear" w:fill="FFFFFF"/>
          <w:vertAlign w:val="baseline"/>
        </w:rPr>
        <w:t>验</w:t>
      </w:r>
      <w:r>
        <w:rPr>
          <w:rStyle w:val="7"/>
          <w:rFonts w:hint="eastAsia" w:ascii="楷体" w:hAnsi="楷体" w:eastAsia="楷体" w:cs="楷体"/>
          <w:i w:val="0"/>
          <w:iCs w:val="0"/>
          <w:caps w:val="0"/>
          <w:color w:val="333333"/>
          <w:spacing w:val="0"/>
          <w:sz w:val="28"/>
          <w:szCs w:val="28"/>
          <w:shd w:val="clear" w:fill="FFFFFF"/>
          <w:vertAlign w:val="baseline"/>
          <w:lang w:val="en-US" w:eastAsia="zh-CN"/>
        </w:rPr>
        <w:t>收</w:t>
      </w:r>
      <w:r>
        <w:rPr>
          <w:rStyle w:val="7"/>
          <w:rFonts w:hint="eastAsia" w:ascii="楷体" w:hAnsi="楷体" w:eastAsia="楷体" w:cs="楷体"/>
          <w:i w:val="0"/>
          <w:iCs w:val="0"/>
          <w:caps w:val="0"/>
          <w:color w:val="333333"/>
          <w:spacing w:val="0"/>
          <w:sz w:val="28"/>
          <w:szCs w:val="28"/>
          <w:shd w:val="clear" w:fill="FFFFFF"/>
          <w:vertAlign w:val="baseline"/>
        </w:rPr>
        <w:t>方式:</w:t>
      </w:r>
      <w:r>
        <w:rPr>
          <w:rFonts w:hint="eastAsia" w:ascii="仿宋" w:hAnsi="仿宋" w:eastAsia="仿宋" w:cs="仿宋"/>
          <w:i w:val="0"/>
          <w:iCs w:val="0"/>
          <w:caps w:val="0"/>
          <w:color w:val="333333"/>
          <w:spacing w:val="0"/>
          <w:sz w:val="28"/>
          <w:szCs w:val="28"/>
          <w:shd w:val="clear" w:fill="FFFFFF"/>
          <w:vertAlign w:val="baseline"/>
        </w:rPr>
        <w:t>验收组统一验收</w:t>
      </w:r>
    </w:p>
    <w:p w14:paraId="041AA8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楷体" w:hAnsi="楷体" w:eastAsia="楷体" w:cs="楷体"/>
          <w:i w:val="0"/>
          <w:iCs w:val="0"/>
          <w:caps w:val="0"/>
          <w:color w:val="333333"/>
          <w:spacing w:val="0"/>
          <w:sz w:val="28"/>
          <w:szCs w:val="28"/>
          <w:bdr w:val="none" w:color="auto" w:sz="0" w:space="0"/>
          <w:shd w:val="clear" w:fill="FFFFFF"/>
          <w:vertAlign w:val="baseline"/>
        </w:rPr>
        <w:t>（四）</w:t>
      </w:r>
      <w:r>
        <w:rPr>
          <w:rStyle w:val="7"/>
          <w:rFonts w:hint="eastAsia" w:ascii="楷体" w:hAnsi="楷体" w:eastAsia="楷体" w:cs="楷体"/>
          <w:i w:val="0"/>
          <w:iCs w:val="0"/>
          <w:caps w:val="0"/>
          <w:color w:val="333333"/>
          <w:spacing w:val="0"/>
          <w:sz w:val="28"/>
          <w:szCs w:val="28"/>
          <w:shd w:val="clear" w:fill="FFFFFF"/>
          <w:vertAlign w:val="baseline"/>
        </w:rPr>
        <w:t>结算时间:</w:t>
      </w:r>
      <w:r>
        <w:rPr>
          <w:rFonts w:hint="eastAsia" w:ascii="仿宋" w:hAnsi="仿宋" w:eastAsia="仿宋" w:cs="仿宋"/>
          <w:i w:val="0"/>
          <w:iCs w:val="0"/>
          <w:caps w:val="0"/>
          <w:color w:val="333333"/>
          <w:spacing w:val="0"/>
          <w:sz w:val="28"/>
          <w:szCs w:val="28"/>
          <w:shd w:val="clear" w:fill="FFFFFF"/>
          <w:vertAlign w:val="baseline"/>
        </w:rPr>
        <w:t>活动验收通过，费用一次性支付</w:t>
      </w:r>
    </w:p>
    <w:p w14:paraId="35591E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Style w:val="7"/>
          <w:rFonts w:hint="eastAsia" w:ascii="黑体" w:hAnsi="宋体" w:eastAsia="黑体" w:cs="黑体"/>
          <w:i w:val="0"/>
          <w:iCs w:val="0"/>
          <w:caps w:val="0"/>
          <w:color w:val="333333"/>
          <w:spacing w:val="0"/>
          <w:sz w:val="28"/>
          <w:szCs w:val="28"/>
          <w:bdr w:val="none" w:color="auto" w:sz="0" w:space="0"/>
          <w:shd w:val="clear" w:fill="FFFFFF"/>
          <w:vertAlign w:val="baseline"/>
        </w:rPr>
        <w:t>六、联系方式</w:t>
      </w:r>
    </w:p>
    <w:p w14:paraId="7C12CA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Fonts w:hint="eastAsia" w:ascii="仿宋" w:hAnsi="仿宋" w:eastAsia="仿宋" w:cs="仿宋"/>
          <w:i w:val="0"/>
          <w:iCs w:val="0"/>
          <w:caps w:val="0"/>
          <w:color w:val="333333"/>
          <w:spacing w:val="0"/>
          <w:sz w:val="28"/>
          <w:szCs w:val="28"/>
          <w:bdr w:val="none" w:color="auto" w:sz="0" w:space="0"/>
          <w:shd w:val="clear" w:fill="FFFFFF"/>
          <w:vertAlign w:val="baseline"/>
        </w:rPr>
        <w:t>邀请单位:通江县文化馆</w:t>
      </w:r>
    </w:p>
    <w:p w14:paraId="5E3EBA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sz w:val="28"/>
          <w:szCs w:val="28"/>
        </w:rPr>
      </w:pPr>
      <w:r>
        <w:rPr>
          <w:rFonts w:hint="eastAsia" w:ascii="仿宋" w:hAnsi="仿宋" w:eastAsia="仿宋" w:cs="仿宋"/>
          <w:i w:val="0"/>
          <w:iCs w:val="0"/>
          <w:caps w:val="0"/>
          <w:color w:val="333333"/>
          <w:spacing w:val="0"/>
          <w:sz w:val="28"/>
          <w:szCs w:val="28"/>
          <w:bdr w:val="none" w:color="auto" w:sz="0" w:space="0"/>
          <w:shd w:val="clear" w:fill="FFFFFF"/>
          <w:vertAlign w:val="baseline"/>
        </w:rPr>
        <w:t>联 系 人:</w:t>
      </w:r>
      <w:r>
        <w:rPr>
          <w:rFonts w:hint="eastAsia" w:ascii="仿宋" w:hAnsi="仿宋" w:eastAsia="仿宋" w:cs="仿宋"/>
          <w:i w:val="0"/>
          <w:iCs w:val="0"/>
          <w:caps w:val="0"/>
          <w:color w:val="333333"/>
          <w:spacing w:val="0"/>
          <w:sz w:val="28"/>
          <w:szCs w:val="28"/>
          <w:bdr w:val="none" w:color="auto" w:sz="0" w:space="0"/>
          <w:shd w:val="clear" w:fill="FFFFFF"/>
          <w:vertAlign w:val="baseline"/>
          <w:lang w:val="en-US" w:eastAsia="zh-CN"/>
        </w:rPr>
        <w:t>徐</w:t>
      </w:r>
      <w:r>
        <w:rPr>
          <w:rFonts w:hint="eastAsia" w:ascii="仿宋" w:hAnsi="仿宋" w:eastAsia="仿宋" w:cs="仿宋"/>
          <w:i w:val="0"/>
          <w:iCs w:val="0"/>
          <w:caps w:val="0"/>
          <w:color w:val="333333"/>
          <w:spacing w:val="0"/>
          <w:sz w:val="28"/>
          <w:szCs w:val="28"/>
          <w:bdr w:val="none" w:color="auto" w:sz="0" w:space="0"/>
          <w:shd w:val="clear" w:fill="FFFFFF"/>
          <w:vertAlign w:val="baseline"/>
        </w:rPr>
        <w:t>老师</w:t>
      </w:r>
    </w:p>
    <w:p w14:paraId="04751D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555" w:lineRule="atLeast"/>
        <w:ind w:left="0" w:right="0" w:firstLine="645"/>
        <w:textAlignment w:val="baseline"/>
        <w:rPr>
          <w:rFonts w:hint="default" w:eastAsia="仿宋"/>
          <w:sz w:val="28"/>
          <w:szCs w:val="28"/>
          <w:lang w:val="en-US" w:eastAsia="zh-CN"/>
        </w:rPr>
      </w:pPr>
      <w:r>
        <w:rPr>
          <w:rFonts w:hint="eastAsia" w:ascii="仿宋" w:hAnsi="仿宋" w:eastAsia="仿宋" w:cs="仿宋"/>
          <w:i w:val="0"/>
          <w:iCs w:val="0"/>
          <w:caps w:val="0"/>
          <w:color w:val="333333"/>
          <w:spacing w:val="0"/>
          <w:sz w:val="28"/>
          <w:szCs w:val="28"/>
          <w:bdr w:val="none" w:color="auto" w:sz="0" w:space="0"/>
          <w:shd w:val="clear" w:fill="FFFFFF"/>
          <w:vertAlign w:val="baseline"/>
        </w:rPr>
        <w:t>联系电话:</w:t>
      </w:r>
      <w:r>
        <w:rPr>
          <w:rFonts w:hint="eastAsia" w:ascii="仿宋" w:hAnsi="仿宋" w:eastAsia="仿宋" w:cs="仿宋"/>
          <w:i w:val="0"/>
          <w:iCs w:val="0"/>
          <w:caps w:val="0"/>
          <w:color w:val="333333"/>
          <w:spacing w:val="0"/>
          <w:sz w:val="28"/>
          <w:szCs w:val="28"/>
          <w:bdr w:val="none" w:color="auto" w:sz="0" w:space="0"/>
          <w:shd w:val="clear" w:fill="FFFFFF"/>
          <w:vertAlign w:val="baseline"/>
          <w:lang w:val="en-US" w:eastAsia="zh-CN"/>
        </w:rPr>
        <w:t>15528678299</w:t>
      </w:r>
    </w:p>
    <w:p w14:paraId="1CAC2937">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67E44"/>
    <w:rsid w:val="0808579C"/>
    <w:rsid w:val="0A002BCE"/>
    <w:rsid w:val="0BAB6B6A"/>
    <w:rsid w:val="0BEE4152"/>
    <w:rsid w:val="0DB461AA"/>
    <w:rsid w:val="110F7B9B"/>
    <w:rsid w:val="12374CB3"/>
    <w:rsid w:val="13893C35"/>
    <w:rsid w:val="16230D78"/>
    <w:rsid w:val="170C65FB"/>
    <w:rsid w:val="171657DF"/>
    <w:rsid w:val="1941466A"/>
    <w:rsid w:val="20FA1CCE"/>
    <w:rsid w:val="2237485C"/>
    <w:rsid w:val="24763D61"/>
    <w:rsid w:val="255D6CCF"/>
    <w:rsid w:val="25E87F6B"/>
    <w:rsid w:val="264B2FCC"/>
    <w:rsid w:val="28FE2577"/>
    <w:rsid w:val="296028EA"/>
    <w:rsid w:val="29B6075C"/>
    <w:rsid w:val="2B77111E"/>
    <w:rsid w:val="2BF11F1F"/>
    <w:rsid w:val="2CA84CD4"/>
    <w:rsid w:val="35A149B6"/>
    <w:rsid w:val="367B0D63"/>
    <w:rsid w:val="38D46E50"/>
    <w:rsid w:val="3BA945C4"/>
    <w:rsid w:val="3C5938F5"/>
    <w:rsid w:val="4081166C"/>
    <w:rsid w:val="42E303BC"/>
    <w:rsid w:val="43F65ECD"/>
    <w:rsid w:val="44996ACF"/>
    <w:rsid w:val="44D97CC8"/>
    <w:rsid w:val="46FC1A4C"/>
    <w:rsid w:val="48147269"/>
    <w:rsid w:val="4C1710D6"/>
    <w:rsid w:val="4D331F40"/>
    <w:rsid w:val="4DFA480C"/>
    <w:rsid w:val="50D17AA6"/>
    <w:rsid w:val="52ED75F8"/>
    <w:rsid w:val="543F11CA"/>
    <w:rsid w:val="5A04713E"/>
    <w:rsid w:val="5A601E9A"/>
    <w:rsid w:val="5BBE50CA"/>
    <w:rsid w:val="5C89392A"/>
    <w:rsid w:val="5EAC3900"/>
    <w:rsid w:val="5ED76E2E"/>
    <w:rsid w:val="62960B4F"/>
    <w:rsid w:val="68D56ED4"/>
    <w:rsid w:val="6B76151E"/>
    <w:rsid w:val="75662603"/>
    <w:rsid w:val="79E85CDC"/>
    <w:rsid w:val="7EAD3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Salutation"/>
    <w:basedOn w:val="1"/>
    <w:next w:val="1"/>
    <w:unhideWhenUsed/>
    <w:qFormat/>
    <w:uiPriority w:val="99"/>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2025-09-26T08:27:52Z</dcterms:created>
  <dc:creator>Administrotar</dc:creator>
  <cp:lastModifiedBy>fly</cp:lastModifiedBy>
  <dcterms:modified xsi:type="dcterms:W3CDTF">2025-09-26T08:50:45Z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eyJoZGlkIjoiN2FkMjM0YmMyNWY5ZThiOTIxMTlkZTgyZjNmNWVjM2QiLCJ1c2VySWQiOiI0NDM0Nzc2ODAifQ==</vt:lpwstr>
  </property>
  <property fmtid="{D5CDD505-2E9C-101B-9397-08002B2CF9AE}" pid="4" name="ICV">
    <vt:lpwstr>8E4B9EC8C5EE4E8FB6FC2E5569400285_12</vt:lpwstr>
  </property>
</Properties>
</file>